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60136-П/2011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Чернобровкина Сергея Владимировича на нарушение его конституционных прав абзацем вторым пункта 14 статьи 15 Федерального закона «О статусе военнослужащих» и положениями пунктов 1 и 4 Положения о выплате денежной компенсации за наем (поднаем) жилых помещений гражданам Российской Федерации, уволенным с военной службы, и членам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С.В.Чернобровкина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С.В.Чернобровкиным материалы, не находит оснований для принятия его жалобы к рассмотрению. В соответствии с пунктом 14 статьи 15 Федерального закона «О статусе военнослужащих» военнослужащие-граждане, отвечающие ряду требований, обеспечиваются жилыми помещениями при увольнении с военной службы и при перемене места жительства, при этом документы о сдаче жилых помещений Министерству обороны Российской Федерации (иному федеральному органу исполнительной власти, в котором федеральным законом предусмотрена военная служба)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жилого 4 помещения по избранному месту жительства (абзац первый); при невозможности обеспечить жилыми помещениями граждан указанной категории, которые до 1 января 2005 года были приняты органами местного самоуправления на учет в качестве нуждающихся в жилых помещениях, им ежемесячно выплачивается денежная компенсация за счет средств федерального бюджета в порядке и размерах, которые определяются Правительством Российской Федерации (абзац второй). Из приведенных нормативных положений следует, что военнослужащие-граждане, не обеспеченные при увольнении с военной службы жилыми помещениями, при перемене места жительства не утрачивают права на обеспечение жильем: при соблюдении определенных условий им предоставляются дополнительные гарантии конституционного права на жилище – до момента фактической реализации ими данного права. Таким образом, абзац второй пункта 14 статьи 15 Федерального закона «О статусе военнослужащих», а также конкретизирующие его нормы Положения о выплате денежной компенсации за наем (поднаем) жилых помещений гражданам Российской Федерации, уволенным с военной службы, и членам их семей, которые также оспариваются заявителем, не могут рассматриваться как нарушающие конституционные права граждан. Разрешение же вопроса о том, распространяются ли на заявителя названные гарантии, проверка законности и обоснованности полученного им отказа в их предоставлении связаны с оценкой фактических обстоятельств и Конституционному Суду Российской Федерации неподведомственны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Чернобровкина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