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177648-П/2014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Геннадия Вячеславовича на нарушение его конституционных прав частью второй статьи 61 и статьей 209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Г.В.Волкова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209 ГПК Российской Федерации, закрепляющая последствия вступления в законную силу решения суда, направлена на пресечение рассмотрения судами тождественных требований (между теми же сторонами, о том же предмете и по тем же основаниям), а потому не может рассматриваться как нарушающая конституционные права заявителя, перечисленные в жалобе. Что касается требования заявителя проверить конституционность части второй статьи 61 ГПК Российской Федерации, то по данному вопросу Конституционным Судом Российской Федерации уже вынесено Определение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Геннадия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