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60363-П/2011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«Юговостоктехмонтаж ВМУ-3» на нарушение конституционных прав и свобод статьями 381, 387 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ОАО «Юговостоктехмонтаж ВМУ-3»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надзорной инстанции были отменены вынесенные по делу по иску ОАО «Юговостоктехмонтаж ВМУ-3» о взыскании убытков постановления судов первой и кассационной инстанций и принято новое решение – об отказе в иске.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мнению заявителя, недопустимостью обжалования судебного постановления суда надзорной инстанции, в котором содержится новое решение по делу, одна из сторон поставлена в неравное положение с другой стороной, воспользовавшейся правом на обжалование судебных решений, вынесенных нижестоящими судами. Между тем из статей 19 и 123 (часть 3) Конституции Российской Федерации во взаимосвязи с ее статьей 46 следует, что сторонам предоставлены равные процессуальные возможности для отстаивания своих прав и законных интересов на каждой стадии судебного разбирательства, в том числе в надзорной инстанции, с учетом пределов и особенностей порядка рассмотрения дел в этой инстанции. Таким образом, отсутствие права обжаловать постановление суда надзорной инстанции, которым вынесено новое решение по делу, конституционные права заявителя, указанные в жалобе, не нарушает. 3 Кроме того, положения статьи 381 ГПК Российской Федерации не регулируют вопросы обжалования заинтересованными лицами постановлений суда надзорной инстанции, в том числе таких, в которых содержится новое решение по делу. Право на обращение с надзорной жалобой на постановление президиума суда субъекта Российской Федерации в Верховный Суд Российской Федерации предусмотрено пунктом 3 части второй статьи 377 ГПК Российской Федерации, и заявитель данным правом воспользовался. Статья 387 ГПК Российской Федерации уже была предметом рассмотрения Конституционного Суда Российской Федерации. В Постановлении от 5 февраля 2007 года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«Юговостоктехмонтаж ВМУ-3»,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