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63047-П/2011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Сметанникова Вадима Николаевича на нарушение его конституционных прав положением пункта 14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заболеваний, пунктами 5 и 20 Временных критериев определения степени утраты профессиональной трудоспособности в результате несчастных случаев на производстве и профессиональных заболеваний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В.Н.Сметанникова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В.Н.Сметанников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В.Н.Сметанниковым материалы, не находит оснований для принятия его жалобы к рассмотрению. В соответствии с Федеральным конституционным законом «О Конституционном Суде Российской Федерации» Проверка ведомственных нормативных актов, к которым относятся Временные критерии определения степени утраты профессиональной трудоспособности в результате несчастных случаев на производстве и профессиональных заболеваний, как и проверка законности и обоснованности решений правоприменителей, в том числе судов общей юрисдикции, а также правильности применения Верховным Судом Российской Федерации конституционных норм, не относится к полномочиям Конституционного Суда Российской Федерации, как они установлены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Сметанникова Вадима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