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139810-П/2013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июля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Жирновой Диллары Валерьевны на нарушение ее конституционных прав абзацем вторым части второй статьи 386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гражданки Д.В.Жирновой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оставленным без изменения судом вышестоящей инстанции, были удовлетворены исковые требования гражданки Д.В.Жирновой к муниципальному образовательному учреждению о восстановлении на работе, взыскании компенсации за время вынужденного прогула и компенсации морального вреда. Определением Судебной коллегии по гражданским делам Верховного Суда Российской Федерации данное 2 судебное постановление отменено в кассационном порядке и по делу принято новое решение – об отказе в удовлетворении исковых требований.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Статьями 381–383 ГПК Российской Федерации предусматривается предварительное рассмотрение судьями кассационных жалоб (представлений). На этом обязательном этапе кассационного производства, представляющем собой процедуру допуска (фильтрации) кассационных жалоб (представлений), определяются правовые основания для дальнейшего движения дела (передачи кассационной жалобы или представления с делом для рассмотрения в судебном заседании суда кассационной инстанции) исходя из доводов, изложенных в жалобе (представлении), и содержания обжалуемых судебных постановлений (материалов истребованного дела). 3 Поскольку на данном этапе производства в суде кассационной инстанции решается лишь вопрос о возможности передачи кассационной жалобы, представления прокурора для рассмотрения в судебном заседании суда кассационной инстанции, участие судьи, который изучал кассационную жалобу, представление прокурора на основании предписаний статьи 3801 ГПК Российской Федерации, в заседании суда кассационной инстанции, рассматривающего данную жалобу, представление прокурора, не может быть признано нарушающим принципы независимости и беспристрастности судей при осуществлении правосудия. Кроме того, соблюдение данных принципов в суде кассационной инстанции обеспечивается наличием у лица, участвующего в деле, права заявить судье отвод в судебном заседании суда кассационной инстанции на основании пункта 3 части первой статьи 16 ГПК Российской Федерации, если имеются основания полагать, что он лично, прямо или косвенно, заинтересован в исходе гражданского дела. Такое право предусмотрено процессуальным законом (статья 19 ГПК Российской Федерации). Таким образом, оспариваемая заявительницей норма сама по себе не может рассматриваться как нарушающая ее конституционные права, указанные в жалобе.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Жирновой Диллары Валерьевны,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