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148135-П/2013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ноября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Веретенникова Андрея Николаевича на нарушение его конституционных прав пунктом 1 статьи 23 Закона Российской Федерации «О защите прав потребителей»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М.И.Клеандрова, С.Д.Князева, А.Н.Кокотова, Л.О.Красавчиковой, С.П.Маврина, Н.В.Мельникова, Н.В.Селезнева, О.С.Хохряковой, В.Г.Ярославцева, рассмотрев вопрос о возможности принятия жалобы гражданина А.Н.Веретенникова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оставленным без изменения судом апелляционной инстанции, требования гражданина А.Н.Веретенникова к организации – продавцу, в том числе о взыскании неустойки за нарушение срока устранения недостатков товара длительного пользования, удовлетворены частично. При этом суд, определяя размер подлежащей взысканию в соответствии с пунктом 1 статьи 23 Закона Российской Федерации от 7 февраля 1992 года № 2300-I «О защите прав потребителей» неустойки, исходил из цены части товара, недостаток которой 2 устранялся по инициативе самого ответчика, а также принял во внимание то обстоятельство, что указанный недостаток не препятствовал истцу пользоваться товаром в соответствии с его назначением.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Веретенникова Андрея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