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161941-П/2009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Кокурина Сергея Викторовича на нарушение его конституционных прав положением Федерального закона от 27 декабря 2009 года № 377- 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 исполнительного кодекса Российской Федерации о наказании в виде ограничения свободы»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С.В.Кокурина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Уголовному кодексу Российской Федерации преступность и наказуемость деяния определяются уголовным законом, действовавшим во время совершения этого деяния (часть первая статьи 9); уголовный закон, устраняющий преступность деяния, смягчающий наказание или иным 3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 (часть первая статьи 10). Как следует из жалобы, позиция заявителя основывается на том, что внесенные в санкцию статьи 105 УК Российской Федерации изменения, касающиеся введения дополнительного наказания в виде ограничения свободы, улучшают, как он считает, его положение. Между тем введение в санкцию статьи такого дополнительного наказания предполагает возможность его назначения не вместо основного наказания в виде лишения свободы, а вместе с ним, что увеличивает продолжительность налагаемых на виновного ограничений. Следовательно, новый уголовный закон в данном случае усиливает наказание за совершенное деяние, а потому обратной силы не имеет (Определение Конституционного Суда Российской Федерации от 16 февраля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Кокурина Сергея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