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167173-П/2014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Басманова Владимира Владимировича на нарушение его конституционных прав пунктом 3 части второй статьи 38 и статьей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В.В.Басманова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В.В.Басманову было отказано в удовлетворении надзорных жалоб на постановленный в отношении него приговор, мотивированных тем, что он и его адвокат не были своевременно ознакомлены с постановлением о производстве ряда экспертиз.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Басманова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