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193833-П/2015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Маленкина Сергея Сергеевича на нарушение его конституционных прав положениями частей второй и третьей статьи 413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123, 125, 126 и 128 Конституции Российской Федерации, федеральными конституционными законами и федеральными законами. 3 В отношении уголовного судопроизводства таким законом выступает Уголовно-процессуальный кодекс Российской Федерации, предусматривающий в главе 49 возможность возобновления производства по уголовному делу, осуществляемого – в отличие от кассационного (глава 471) и надзорного (глава 481) порядков пересмотра судебных решений – согласно статье 413 того же Кодекса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учтены; известные же на момент вынесения приговора обстоятельства могут быть проверены и оценены судом апелляционной, кассационной и надзорной инстанций. С учетом этого возобновление производства по уголовному делу ввиду новых или вновь открывшихся обстоятельств направлено не на восполнение недостатков предшествующей обвинительной и судебной деятельности, а на обеспечение возможности исследования фактических обстоятельств, которые уголовный закон признает имеющими значение для определения оснований и пределов уголовно-правовой охраны, но которые в силу объективных причин ранее не могли входить в предмет исследования по уголовному делу (определения Конституционного Суда Российской Федерации от 28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Маленкина Сергея Сергеевича,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