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171883-П/2014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Номанова Александра Эдиповича на нарушение его конституционных прав частью 3 статьи 16.2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А.Э.Номанова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осуществление прав и свобод человека и гражданина не должно нарушать права и свободы других лиц (статья 17, часть 3),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1), никто не может быть лишен своего имущества иначе как по решению суда (статья 35, часть 3). В соответствии с Кодексом Российской Федерации об административных правонарушениях административным правонарушением признается противоправное виновное действие (бездействие) физического или юридического лица, за которое установлена административная ответственность (часть 1 статьи 2.1), лицо подлежит административной ответственности только за те административные правонарушения, в отношении которых установлена его вина (часть 1 статьи 1.5). Частью 3 статьи 16.2 КоАП РФ установлена ответственность, в том числе в виде конфискации предметов административного правонарушения, 3 за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документов, если такие сведения или документы могли послужить основанием для несоблюдения установленных законодательством запретов и ограничений. Как следует из содержания оспариваемого законоположения, им предусмотрена ответственность в виде конфискации предмета административного правонарушения. Следовательно, в этой части оспариваемое законоположение, вопреки утверждению заявителя, не является неопределенным и не может рассматриваться как нарушающее его конституционные права в указанном им аспекте. Что касается вопроса об определении частью 3 статьи 16.2 КоАП Российской Федерации субъекта административного правонарушения, то указанное законоположение преследует цель пресечь предпринимательскую деятельность, осуществляемую с нарушением таможенного законодательства и нарушающую права и свободы других лиц вопреки положениям Конституции Российской Федерации (часть 3 статьи 17). Следовательно, административной ответственности подлежит лицо, осуществляющее деятельность, связанную с незаконным ввозом товаров в Российскую Федерацию, вступающее в правоотношения с таможенными органами. Таким лицом является либо декларант (в том числе индивидуальный предприниматель, осуществляющий ввоз товара на территорию Российской Федерации, безотносительно к тому, сам он или его работник выполняет фактические действия при ввозе товара), либо его таможенный представитель (специализированная организация, с которой предпринимателем заключен договор для таможенного оформления товара). Работники указанных лиц не осуществляют предпринимательскую деятельность, связанную со ввозом товара в Российскую Федерацию, действуют от имени и в интересах работодателя и не могут быть признаны субъектами, нарушающими таможенное законодательство. 4 С учетом изложенного оспариваемое законоположение, определяющее субъект установленного им административного правонарушения, также не может рассматриваться как нарушающее конституционные права заявителя.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Номанова Александра Эдиповича,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