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Белошенко Сергея Леонидовича на нарушение его конституционных прав пунктами 1, 5 и 6 части первой, частями второй и третьей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С.Л.Белошенко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конституционность пунктов 1, 5 и 6 части первой, частей второй и третьей статьи 51 УПК Российской Федерации, заявитель связывает нарушение своих прав с отказом суда надзорной инстанции отменить кассационное определение по его делу, которое было вынесено 28 декабря 2005 года на основе норм, примененных в значении, расходящемся с их конституционно-правовым смыслом, выявленным Конституционным Судом Российской Федерации в определениях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Белошенко Сергея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