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162249-П/2014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Грабенко Андрея Михайловича на нарушение его конституционных прав частью 2 статьи 25.1, пунктом 2 статьи 30.4, пунктом 2 части 2 статьи 30.6, частью 2 статьи 30.8 и частью 5 статьи 30.9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А.М.Грабенко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А.М.Грабенко материалы, не находит оснований для принятия его жалобы к рассмотрению. 3 В соответствии с положениями статей 96 и 97 Федерального конституционного закона «О Конституционном Суде Российской Федерации» граждане вправе обратиться в Конституционный Суд Российской Федерации с жалобой на нарушение своих конституционных прав и свобод законом и такая жалоба признается допустимой, если этим законом затрагиваются их конституционные права и свободы и если он применен в конкретном деле, рассмотрение которого завершено в суде. Между тем А.М.Грабенко не представлены документы, подтверждающие, что его конституционные права и свободы затрагивались в результате применения оспариваемых законоположений при разрешении судом его дела. При этом Федеральный конституционный закон «О Конституционном Суде Российской Федерации» не предусматривает положений, которые наделяют граждан правом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Грабенко Андрея Михайловича,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