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188821-П/2015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Волосунина Андрея Михайловича на нарушение его конституционных прав частью 5 статьи 4.1 и пунктом 7 части 1 статьи 24.5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А.М.Волосунина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А.М.Волосуниным материалы, не находит оснований для принятия его жалобы к рассмотрению. 3 Согласно статье 50 (часть 1) Конституции Российской Федерации никто не может быть повторно осужден за одно и то же преступление. Данное конституционное положение имеет общее значение и распространяется на законодательство об административных правонарушениях. В силу части 5 статьи 4.1 и пункта 7 части 1 статьи 24.5 КоАП Российской Федерации никто не может нести административную ответственность дважды за одно и то же административное правонарушение, и в случае наличия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данного Кодекса или закона субъекта Российской Федерации, либо постановления о возбуждении уголовного дела, производство по делу об административном правонарушении не может быть начато, а начатое производство подлежит прекращению. Таким образом, оспариваемые законоположения корреспондируют требованиям статьи 50 (часть 1) Конституции Российской Федерации и потому сами по себе не могут рассматриваться как нарушающие конституционные права заявителя. Кроме того, как следует из представленных материалов, суд установил, что заявитель привлекался к административной ответственности за совершение не одного и того же, а различных правонарушений.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Волосунина Андрея Михайловича,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