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195656-П/2015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Чудова Сергея Васильевича на нарушение его конституционных прав статьей 1487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С.В.Чудова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апелляционной и кассационной инстанций, были удовлетворены требования индивидуального предпринимателя С.В.Чудова о признании незаконным решения таможенного органа о приостановлении выпуска товаров в связи с их несоответствием Таможенному кодексу Таможенного союза. При этом суды, руководствуясь в том числе статьей 1487 ГК Российской Федерации, исходили из того, что оснований для приостановления выпуска спорных товаров у таможенного органа не имелось, поскольку они значительное 2 время находились в употреблении, были введены в оборот третьими лицами за пределами Российской Федерации и доказательств того, что правообладатель запрещал ввоз этих товаров в другие страны, в том числе в Российскую Федерации, ответчик не представил. Постановлением Президиума Высшего Арбитражного Суда Российской Федерации названные судебные акты отменены и в удовлетворении заявления индивидуального предпринимателя С.В.Чудова о признании незаконным решения таможенного органа о приостановлении выпуска товаров в связи с их несоответствием Таможенному кодексу Таможенного союза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С.В.Чудовым материалы, не находит оснований для принятия данной жалобы к рассмотрению. 3 Статья 1487 ГК Российской Федерации, закрепляющая принцип исчерпания исключительного права на товарный знак, направлена на обеспечение баланса прав правообладателя легальной монополии (исключительного права) в отношении зарегистрированного им в установленном порядке обозначения – товарного знака и прав других лиц в отношении товаров, которые были введены в гражданский оборот на территории Российской Федерации непосредственно правообладателем или с его согласия. Как указал Президиум Высшего Арбитражного Суда Российской Федерации, отказывая в удовлетворении заявления С.В.Чудова, целью приостановления выпуска товаров на определенный срок является установление фактов нарушения прав интеллектуальной собственности в результате проведения мероприятий, указанных в пункте 2 статьи 331 Таможенного кодекса Таможенного союза; неподтверждение же в результате проведения таких мероприятий факта нарушения прав интеллектуальной собственности не свидетельствует о неправомерном принятии таможенным органом решения о приостановлении выпуска товаров. Следовательно, нет оснований полагать, что оспариваемое законоположение нарушает конституционные права заявителя в указанном им аспекте. Установление и исследование фактических обстоятельств, равно как и того, подлежала ли применению оспариваемая С.В.Чудовым норма с точки зрения ее действия во времени, на чем фактически настаивает заявитель,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Чудова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