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15109-П/2006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апреля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жалобе закрытого акционерного общества «Судовые агенты» на нарушение конституционных прав и свобод положениями статьи 169 и пункта 1 статьи 171 Налогового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С.М.Казанцева, М.И.Клеандрова, А.Л.Кононова, Л.О.Красавчиковой, С.П.Маврина, Ю.Д.Рудкина, Н.В.Селезнева, А.Я.Сливы, В.Г.Стрекозова, О.С.Хохряковой, Б.С.Эбзеева, В.Г.Ярославцева, рассмотрев по требованию ЗАО «Судовые агенты»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его жалобы к рассмотрению. 3 Вопрос, поставленный в жалобе ЗАО «Судовые агенты», ранее был предметом исследования Конституционного Суда Российской Федерации. В Определении от 15 февраля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жалобу закрытого акционерного общества «Судовые агенты» не подлежащей дальнейшему рассмотрению в заседании Конституционного Суда Российской Федерации, поскольку для разрешения поставленного в ней вопроса не требуется вынесение предусмотренного статьей 71 Федерального конституционного закона «О Конституционном Суде Российской Федерации» итогового решения в виде постановления. 5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