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187528-П/2015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жалобы гражданина Чистова Дмитрия Алексеевича на нарушение его конституционных прав частью первой статьи 129 и пунктами 2 и 5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Д.А.Чистова,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Московского окружного военного суда от 16 апреля 2013 года было отказано в передаче для рассмотрения в судебном заседании суда кассационной инстанции кассационной жалобы на вступивший в законную силу приговор Реутовского гарнизонного военного суда от 2 ноября 2012 года, вынесенный в отношении гражданина Д.А.Чистова. Защитником Д.А.Чистова была подана кассационная жалоба в 2 Верховный Суд Российской Федерации, однако письмом консультанта этого суда от 17 апреля 2014 года жалоба была возвращена без рассмотрения, как поданная с пропуском годичного срока, установленного частью третьей статьи 4012 УПК Российской Федерации, действовавшей в редакции Федерального закона от 29 декабря 2010 года № 433-ФЗ.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Чистова Дмитрия Алексеевича,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