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193048-П/2015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«Юпитер» на нарушение конституционных прав и свобод положениями подпункта 1 пункта 3 статьи 170 и пункта 11 статьи 171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ООО «Юпитер»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законодатель, установив в Налоговом кодексе Российской Федерации налог на добавленную стоимость (глава 21), определил существенные элементы данного налога, порядок исчисления налоговой базы (статьи 153 и 154), а также порядок исчисления налога (статья 166), предусмотрев возможность уменьшения общей суммы налога на налоговые вычеты (статья 171). В частности, оспариваемый заявителем пункт 11 статьи 171 Налогового кодекса Российской Федерации предусматривает возможность применения вычета по налогу на добавленную стоимость налогоплательщиком, получившим в качестве вклада в уставный капитал недвижимое имущество. Размер вычета ограничивается суммой налога, ранее принятой к вычету и восстановленной налогоплательщиком, внесшим в уставный капитал указанное имущество; при этом восстановление налога для такого лица предполагает увеличение суммы налога к уплате на сумму, ранее принятую к вычету (статьи 170 и 171). Такое законодательное регулирование позволяет в установленном законом порядке определить и принять к вычету ту сумму налога на добавленную стоимость, которая подлежала вычету по конкретному имуществу, но была восстановлена его собственником в связи с 4 передачей имущества в качестве вклада в уставный капитал нового собственника. Тем самым оспариваемые заявителем законоположения направлены на реализацию права налогоплательщика на применение налогового вычета при соблюдении им законодательно установленных условий, а не на его ограничение. Таким образом, они не могут рассматриваться как нарушающие конституционные права и свободы заявителя в указанном им аспекте.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«Юпитер»,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