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188824-П/2015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Донца Бориса Александровича на нарушение его конституционных прав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Б.А.Донца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3 Статья 29.5 КоАП Российской Федерации определяет место рассмотрения дела об административном правонарушении. По общему правилу, закрепленному в оспариваемой заявителем части 1 данной статьи, дело об административном правонарушении рассматривается по месту его совершения. Иные положения этой статьи предусматривают специальные правила определения места рассмотрения отдельных категорий дел об административных правонарушениях (в частности, в случаях, предусмотренных международным договором, по делам об административных правонарушениях несовершеннолетних и др.). При этом пункт 1 статьи 29.1 КоАП Российской Федерации обязывает судью, орган, должностное лицо при подготовке к рассмотрению дела об административном правонарушении выяснить, относится ли к их компетенции рассмотрение данного дела. Таким образом, оспариваемая норма, вопреки утверждениям заявителя, не содержит какой-либо неопределенности и не предполагает возможность произвольного определения места рассмотрения дела об административном правонарушении, а потому не может рассматриваться как нарушающая его конституционные права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Донца Бориса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