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172357-П/2014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Резника Сергея Александровича на нарушение его конституционных прав пунктом 1 части первой статьи 39, частью первой статьи 60, частью второй статьи 81, частями первой и седьмой статьи 166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 гражданина С.А.Резника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Как следует из жалоб, свою позицию о неконституционности оспариваемых норм заявитель аргументирует путем изложения обстоятельств своего дела и постановки вопросов о неопределенности, с его точки зрения, этих норм при их применении к указанным им обстоятельствам, т.е. фактически предлагает Конституционному Суду Российской Федерации не оценить нормы закона, а дать их толкование применительно к конкретным ситуациям, а по существу – проверить правильность их применения в его конкретном деле. Между тем проверка законности и обоснованности правоприменительных решений составляет прерогативу судов общей юрисдикции и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Резника Сергея Александровича,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