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194017-П/2015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марта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Зяблицкого Юрия Анатольевича на нарушение его конституционных прав положением пункта 8.12 Правил дорожного движения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жалобы гражданина Ю.А.Зяблицкого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следует из жалобы, нарушение своих конституционных прав заявитель связывает не с содержанием оспариваемой нормы, а с отсутствием в ней санкции за нарушение закрепленных в ней правил. Между тем установление ответственности – прерогатива законодателя, который самостоятельно определяет ее вид и размер, исходя из характера противоправного деяния и степени его общественной опасности, и соответственно, самостоятельно формулирует составы правонарушений. Так, статья 12.24 КоАП Российской Федерации предусматривает административную ответственность за любое нарушение Правил дорожного движения или правил эксплуатации транспортного средства, повлекшее причинение легкого (часть 1) или средней тяжести (часть 2) вреда здоровью потерпевшего, в том числе за нарушение пункта 8.12. При этом независимо от привлечения виновного к административной ответственности причиненный имущественный вред возмещается на основании и в порядке, предусмотренном гражданским и гражданским процессуальным законодательством. В соответствии со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Зяблицкого Юрия Анатольевича,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