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101095-П/2012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11 мая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Латыфова Хаета Хаетовича на нарушение его конституционных прав рядом положений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Х.Х.Латыфова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Х.Х.Латыфовым материалы, не находит оснований для принятия его жалобы к рассмотрению. Оспариваемые заявителем часть 2 статьи 1.1, статья 1.2 и часть 2 статьи 1.7 КоАП Российской Федерации устанавливают приоритет норм международного права перед законодательством Российской Федерации об административных правонарушениях, определяют задачи законодательства об административных правонарушениях и правила его действия во времени. Будучи направленными на соблюдение конституционных принципов и защиту процессуальных прав лица, привлекаемого к административной ответственности, по своему содержанию указанные законоположения носят общий характер, а потому не могут рассматриваться как нарушающие какие- либо конституционные права заявителя. Осуществляя в целях защиты государственного суверенитета и обеспечения экономической безопасности таможенное регулирование, федеральный законодатель устанавливает как правила перемещения через 3 таможенную границу Российской Федерации товаров и иных предметов, их оформления и контроля ввоза и вывоза, соблюдая которые граждане реализуют право перемещать товары, в том числе предназначенные для личного пользования, через таможенную границу Российской Федерации в соответствии с избранным таможенным режимом, так и ответственность за нарушение этих правил (статья 4; статья 71, пункты «ж», «о»; статья 72, пункт «к» части 1, Конституции Российской Федерации). Частью 1 статьи 16.2 КоАП Российской Федерации закреплена ответственность за недекларирование по установленной форме товаров, подлежащих таможенному декларированию, за исключением случаев, предусмотренных статьей 16.4 данного Кодекса. Как следует из этой статьи, рассматриваемой во взаимосвязи с иными положениями Кодекса Российской Федерации об административных правонарушениях, предусмотренное в ней правонарушение посягает на самостоятельный объект охраняемых государством общественных отношений в сфере таможенного регулирования, связанных с осуществлением таможенного контроля. Именно поэтому лицо привлекается к ответственности за совершение данного административного правонарушения независимо от того, были ли направлены его действия на уклонение от уплаты таможенных платежей. Таким образом, оспариваемая норма с учетом ее предназначения в действующей системе правового регулирования не может рассматриваться как нарушающая конституционные права заявителя в указанном им аспекте.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Латыфова Хаета Хаетовича, поскольку она не отвечает требованиям Федерального конституционного закона «О Конституционном Суде Российской 4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