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139900-П/2013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Винокурова Ивана Михайловича на нарушение его конституционных прав пунктом 2 части второй статьи 4013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И.М.Винокурова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И.М.Винокурову письмом работника аппарата Верховного Суда Российской Федерации со ссылкой на пункт 2 части второй статьи 4013 УПК Российской Федерации возвращена без рассмотрения его кассационная жалоба на постановление районного суда от 13 ноября 2012 года и определение судебной коллегии по уголовным делам областного суда от 21 января 2013 года в связи с тем, что обжалованные судебные решения не были предметом рассмотрения президиума областного суда.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законами. Применительно к уголовному судопроизводству этим законом является Уголовно-процессуальный кодекс Российской Федерации, статья 4013 которого на основе принципа инстанционности кассационного производства определяет суды кассационной инстанции, вплоть до Судебной коллегии по уголовным делам и Военной коллегии Верховного Суда Российской Федерации, уполномоченные рассматривать кассационные жалобы и представления. Каких-либо положений, ограничивающих возможность обжалования в кассационном порядке судебных решений, затрагивающих права и законные интересы участников уголовного судопроизводства, оспариваемая заявителем норма не содержит и, следовательно, вопреки его утверждению не может расцениваться как нарушающая его конституционные права.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Винокурова Ивана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