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176790-П/2014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Вайшнурса Антона Андреевича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А.А.Вайшнурса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25.1 КоАП Российской Федерации, содержащая закрытый перечень случаев, когда дело об административном правонарушении рассматривается без участия лица, в отношении которого ведется производство, направлена на защиту его прав, а также на обеспечение своевременного рассмотрения дела. Хотя указанная норма и не предполагает обязательное удовлетворение ходатайства об отложении рассмотрения дела лишь в силу факта его подачи, она не 3 может расцениваться как нарушающая конституционные права и свободы заявителя, поскольку, принимая решение по результатам рассмотрения такого ходатайства, судья, орган, должностное лицо в целях полного, всестороннего и объективного рассмотрения дела об административном правонарушении (статья 24.1 КоАП Российской Федерации) не вправе формально подходить к разрешению данного вопроса. Следовательно, в каждом конкретном случае при принятии судом решения по такому ходатайству причины невозможности явки лица, привлекаемого к административной ответственности, должны быть проверены на предмет их объективности и реальности, с тем чтобы исключить нарушение процессуальных прав названных лиц и предотвратить незаконное и необоснованное привлечение их к административной ответственности, а равно злоупотребление правами с их стороны. Проверка же законности и обоснованности судебных решений, принятых по делу заявителя,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Вайшнурса Антона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