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109856-П/2012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Хабура Юрия Валентиновича на нарушение его конституционных прав статьями 42 и 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Ю.В.Хабура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42 УПК Российской Федерации, потерпевшим признается физическое лицо, которому причинен физический, имущественный, моральный вред, а также юридическое лицо в случае причинения вреда его имуществу и деловой репутации непосредственно тем общественно опасным деянием, по признакам которого было возбуждено уголовное дело. Непосредственность причинения вреда, как следует из части первой статьи 44 УПК Российской Федерации, является обязательным условием и для признания физического или юридического лица гражданским истцом. Предоставление возможности защиты имущественных интересов в уголовном процессе посредством гражданского иска лицам, которым вред причинен преступлением непосредственно, является дополнительной возможностью защиты прав этих лиц (Постановление Конституционного Суда Российской Федерации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Хабура Юрия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