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110333-П/2012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Саитовой Рамили Хамитьяновны на нарушение ее конституционных прав частью четвертой статьи 406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Р.Х.Саитовой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Р.Х.Саитовой материалы, не находит оснований для принятия ее жалобы к рассмотрению. Часть четвертая статьи 406 УПК Российской Федерации предусматривает право председателя верховного суда республики, краевого или областного суда, суда города федерального значения, суда автономной области и суда автономного округа, Председателя Верховного Суда Российской Федерации и его заместителей не согласиться с решением судьи соответствующего суда надзорной инстанции об отказе в удовлетворении надзорных жалобы или представления, отменить его и вынести постановление о возбуждении надзорного производства и передаче надзорных жалобы или представления на рассмотрение суда надзорной инстанции вместе с уголовным делом, если оно было истребовано. Данное положение закона не нарушает право граждан на судебную защиту, а, напротив, направлено на обеспечение его реализации, поскольку устанавливает дополнительный механизм возбуждения производства в суде надзорной инстанции (определения Конституционного Суда Российской Федерации от 26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Саитовой Рамили Хамитьяновны,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