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16667-П/2007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Азизова Мухарутдина Азизовича на нарушение его конституционных прав частью четвертой статьи 406 и частью первой статьи 412 Уголовно- процессуального кодекса Российской Федерации, а также постановлением Пленума Верховного Суда Российской Федерации «О применении судами норм главы 48 Уголовно-процессуального кодекса Российской Федерации, регламентирующих производство в надзорной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М.А.Азизова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М.А.Азизов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М.А.Азизовым материалы, не находит оснований для принятия его жалобы к рассмотрению. Вопрос о конституционности законоположений, регулирующих судопроизводство в надзорной инстанции, ранее рассматривался Конституционным Судом Российской Федерации. В принятых им в этой связи решениях (постановления от 17 июля 2002 года Не может быть принята к рассмотрению жалоба М.А.Азизова и в части, касающейся оспаривания конституционности постановления Пленума Верховного Суда Российской Федерации от 11 января 2007 года № 1, поскольку в силу статьи 125 (часть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 по жалобам на нарушение конституционных прав и свобод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Азизова Мухарутдина Азизовича,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