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143172-П/2013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«Авантаж» на нарушение конституционных прав и свобод пунктом 1 части 3 статьи 1 Федерального закона «О защите прав юридических лиц и индивидуальных предпринимателей при проведении государственного контроля (надзора) и муниципального контроля» и статьей 9 Закона Российской Федерации «О ветеринарии»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ООО «Авантаж»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Оспариваемое заявителем положение пункта 1 части 3 статьи 1 Федерального закона «О защите прав юридических лиц и индивидуальных предпринимателей при проведении государственного контроля (надзора) и муниципального контроля» предусматривает, что положения данного Федерального закона, устанавливающие порядок организации и проведения проверок, не применяются к мероприятиям по контролю, при проведении которых не требуется взаимодействие органов, уполномоченных на осуществление государственного контроля (надзора), муниципального контроля, и юридических лиц, индивидуальных предпринимателей, и на указанных лиц не возлагаются обязанности по предоставлению информации и исполнению требований органов государственного контроля (надзора), органов муниципального контроля. Соответственно, в отношении данных мероприятий не действует требование о согласовании их проведения с органом прокуратуры, которое установлено данным Федеральным законом (часть 5 статьи 10) в отношении внеплановой выездной проверки как потенциально наиболее обременительного для проверяемого лица вида проверки. Такое регулирование не выходит за пределы дискреции законодателя и само по себе не может рассматриваться как нарушающее конституционные права и свободы, перечисленные в жалобе. Что касается статьи 9 Закона Российской Федерации «О ветеринарии», то ее положения, определяющие права должностных лиц органов государственного ветеринарного надзора, направлены на создание надлежащих условий для реализации целей и задач государственного ветеринарного надзора и также не могут рассматриваться как нарушающие конституционные права заявителя в указанном им аспекте. Проверка же законности и обоснованности принятых в отношении заявителя правоприменительных решений, в том числе с точки зрения правильности выбора с учетом обстоятельств его конкретного дела подлежащих применению правовых норм и их истолкования, не входит в компетенцию Конституционного Суда Российской Федерации, как она определена статьей 125 Конституции Российской Федерации и статьей 3 4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«Авантаж»,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