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65722-П/2011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Сонина Константина Викторовича на нарушение его конституционных прав частями второй и третьей статьи 35 и частью первой статьи 238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К.В.Сонина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в целях обеспечения права каждого на рассмотрение его дела в том суде и тем судьей, к подсудности которых оно отнесено законом, устанавливает состав суда, предметную, персональную и территориальную подсудность уголовных дел (статьи 30–32 и 452), предусматривает правила передачи дела по подсудности (статья 34) и изменения территориальной подсудности – передачи дела из суда, которому оно подсудно, в другой суд того же уровня (статья 35). В соответствии со статьей 35 УПК Российской Федерации территориальная подсудность уголовного дела может быть изменена по ходатайству стороны либо по инициативе председателя суда, в который поступило дело, в случае, если не все участники уголовного судопроизводства по данному делу проживают на территории, на которую распространяется юрисдикция данного суда, и все обвиняемые согласны на изменение территориальной подсудности данного дела (подпункт «б» пункта 2 части первой); изменение территориальной подсудности уголовного дела допускается лишь до начала судебного разбирательства (часть вторая); вопрос об изменении территориальной подсудности уголовного дела по основаниям, указанным в части первой названной статьи, разрешается председателем вышестоящего суда или его заместителем в порядке, установленном частями третьей, четвертой и шестой статьи 125 этого 4 Кодекса (часть третья). Приведенные нормы прямо предусматривают, что вопрос об изменении территориальной подсудности уголовного дела разрешается председателем или заместителем председателя суда, вышестоящего по отношению к суду, в который поступило дело, и не содержат неопределенности. Положения статьи 35 УПК Российской Федерации – действуя во взаимосвязи с принципом охраны прав и свобод человека и гражданина в уголовном судопроизводстве, закрепленным в статье 11 УПК Российской Федерации, в силу которой суд обязан не только разъяснять участникам процесса их права, обязанности и ответственность, но и обеспечивать возможность осуществления этих прав, – не предполагают произвольный и необоснованный отказ в рассмотрении ходатайства об изменении территориальной подсудности уголовного дела ни со стороны председателя суда, в который дело поступило, ни со стороны председателя вышестоящего по отношению к нему суда и сами по себе не нарушают права заявителя. Проверка же законности и обоснованности судебных решений, принятых по делу заявителя,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Сонина Константина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