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155490-П/2014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Наседкина Николая Петровича на нарушение его конституционных прав частью четвертой статьи 111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вопрос о возможности принятия жалобы гражданина Н.П.Наседкина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четвертая статьи 111 УК Российской Федерации не устанавливает ответственность за правомерное причинение вреда посягающему лицу в состоянии необходимой обороны, условия которой, исключающие преступность соответствующего деяния, закреплены в статье 37 данного Кодекса. Соответственно, уголовно-правовая норма о необходимой обороне, являясь одной из гарантий реализации конституционного положения о том, что каждый вправе защищать свои права и свободы всеми способами, не запрещенными законом (статья 45, часть 2, Конституции Российской Федерации), обеспечивает защиту личности и прав обороняющегося, других лиц, а также защиту охраняемых законом интересов общества или государства от общественно опасного посягательства. Не устанавливает часть четвертая статьи 111 УК Российской Федерации и уголовную ответственность за умышленное причинение тяжкого вреда здоровью при превышении пределов необходимой обороны, повлекшее по неосторожности смерть посягавшего лица. Ответственность за данное деяние предусмотрена частью первой статьи 114 УК Российской Федерации. На такое применение оспариваемой нормы ориентирует суды и постановление Пленума Верховного Суда Российской Федерации от 27 сентября 2012 года № 19 «О применении судами законодательства о необходимой обороне и причинении вреда при задержании лица, совершившего преступление», согласно абзацу второму пункта 11 которого умышленное причинение тяжкого вреда здоровью при превышении пределов необходимой обороны, повлекшее по неосторожности смерть посягавшего лица, надлежит квалифицировать только по части первой статьи 114 УК Российской Федерации. Таким образом, оспариваемая заявителем норма неопределенности не содержит и его права не нарушает. 3 Как следует из жалобы, аргументируя свою позицию о нарушении его конституционных прав, заявитель ссылается на то, что он причинил вред здоровью потерпевшего, обороняясь от его преступного посягательства, что судами не были учтены возраст и физические данные его и потерпевшего, неожиданность нападения. Таким образом, заявитель, по сути, выражает несогласие с квалификацией совершенного им деяния, тем самым предлагая Конституционному Суду Российской Федерации оценить ее правильность. Однако проверка правильности выбора правовых норм, подлежащих применению, и их казуального истолкования правоприменителем с учетом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Наседкина Николая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