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152740-П/2014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Михайловского Вадима Вадимовича на нарушение его конституционных прав статьей 13 Федерального закона «Об оценочной деятельности в Российской Федерации» и пунктом 3 части 4 статьи 85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В.В.Михайловского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искового заявления гражданина В.В.Михайловского к юридическому лицу о возмещении имущественного ущерба, причиненного вследствие обращения взыскания в рамках исполнительного производства на принадлежавшее ему недвижимое имущество согласно заниженной оценке его стоимости, произведенной ответчиком.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3 свидетельствуют о том, что нарушение своих конституционных прав он связывает не с содержанием оспариваемых положений, а с принятыми по его делу судебными постановлениями, выражая несогласие, в частности, с определением судами предмета его искового заявления (оспаривание достоверности оценки ответчиком итоговой величины стоимости принадлежавшего ему недвижимого имущества), тогда как материально- правовое требование заявителя, по его утверждению, было направлено на возмещение убытков, причиненных ему ответчиком в результате произведенной оценки указанного имущества не по рыночной стоимости, а с учетом предстоящей принудительной реализации в рамках исполнительного производства. Между тем проверка законности и обоснованности судебных постановлений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Сами по себе оспариваемые законоположения не препятствуют гражданину требовать в судебном порядке от оценщика возмещения причиненных ему убытков на основании, в частности, положений статьи 246 «Обеспечение имущественной ответственности при осуществлении оценочной деятельности» Федерального закона «Об оценочной деятельности в Российской Федерации» в системной связи с положениями статей 15 и 1064 ГК Российской Федерации, равно как и оспаривать величину стоимости объекта оценки, определенную оценщиком в рамках исполнительного производства, в порядке, предусмотренном законодательством об исполнительном производстве. Таким образом, статья 13 Федерального закона «Об оценочной деятельности в Российской Федерации» и пункт 3 части 4 статьи 85 Федерального закона «Об исполнительном производстве» не могут рассматриваться как нарушающие конституционные права заявителя, перечисленные в жалобе. Исходя из изложенного и руководствуясь пунктом 2 части первой 4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Михайловского Вадима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