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113871-П/2012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Дмитрия Олеговича на нарушение его конституционных прав статьей 31.1 и частью 1 статьи 32.7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Д.О.Ковалева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Д.О.Ковалевым материалы, не находит оснований для принятия его жалобы к рассмотрению. Сама по себе статья 31.1 КоАП Российской Федерации, определяющая момент вступления в законную силу постановления по делу об административном правонарушении, не может рассматриваться как нарушающая какие-либо права заявителя. По смыслу части 3 статьи 27.10, части 1 статьи 32.6 и части 1 статьи 32.7 КоАП Российской Федерации, срок лишения специального права начинает исчисляться с момента вступления в законную силу постановления по делу об административном правонарушении, т.е. тогда, когда лицо, привлеченное к административной ответственности, лишено права управления транспортным средством судебным решением. До наступления этого момента данное лицо вправе управлять транспортным средством на основании временного разрешения, срок действия которого продлевается до вступления в законную силу постановления по делу об административном правонарушении. Из этого исходит и Верховный Суд Российской Федерации, который, давая разъяснения по вопросам судебной практики, в частности, указал следующее: в случае, если срок временного разрешения истек до вступления в законную силу постановления о назначении административного наказания в виде лишения права управления транспортными средствами и лицо, привлекаемое к административной ответственности, не заявляло ходатайство о продлении этого срока либо такое ходатайство не было удовлетворено, течение срока лишения специального права должно начинаться со дня вступления в законную силу постановления о назначении административного наказания в виде лишения права управления транспортными средствами (Обзор законодательства и судебной практики Верховного Суда Российской Федерации за третий квартал 2008 года, утвержденный постановлением 4 Президиума Верховного Суда Российской Федерации от 5 декабря 2008 года). Такое регулирование направлено на обеспечение исполнения принятого по делу постановления. Следовательно, невключение в срок административного наказания в виде лишения специального права периода с момента отмены решения по делу в порядке надзора до момента принятия нового решения (в рамках этого периода управление транспортным средством возможно на основании временного разрешения) не может рассматриваться как нарушение конституционных прав заявителя в указанном им аспекте. Проверка же законности и обоснованности судебных постановлений, в том числе в части правильности исчисления срока лишения специального права, о чем фактически настаивает заявитель, в компетенцию Конституционного Суда Российской Федерации не входит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Дмитрия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