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57754-П/2011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«Складские технологии» на нарушение конституционных прав и свобод положениями пункта 2 статьи 18 Федерального закона «О государственном регулировании производства и оборота этилового спирта, алкогольной и спиртосодержащей продукции» и пункта 3 Положения о лицензировании деятельности по производству, хранению и обороту этилового спирта, изготовленного из всех видов сырья, и спиртосодержащей продукции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ООО «Складские технологии»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ООО «Складские технологии» материалы, не находит оснований для принятия его жалобы к рассмотрению. Согласно статье 34 (часть 1)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 Реализуя свои полномочия в сфере регулирования предпринимательской деятельности, федеральный законодатель вправе определять порядок и условия ее осуществления и, исходя из специфики производства и оборота тех или иных видов продукции как объектов гражданских прав, устанавливать дополнительные требования, а также ограничения, которые, однако, должны соответствовать критериям, закрепленным Конституцией Российской Федерации, а именно вводиться федеральным законом и только в целях защиты закрепленных ею ценностей, в том числе здоровья, прав и законных интересов других лиц (Определение Конституционного Суда Российской Федерации от 18 марта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«Складские технологии»,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5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