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16894-П/2007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Пименовой Марины Юрьевны на нарушение ее конституционных прав пунктом 3 статьи 15 Федерального закона «О безопасности дорожного движения»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гражданки М.Ю.Пименовой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М.Ю.Пименовой материалы, не находит оснований для принятия ее жалобы к рассмотрению. 3 Согласно статье 35 Конституции Российской Федерации право частной собственности охраняется законом (часть 1); каждый вправе иметь имущество в собственности, владеть, пользоваться и распоряжаться им (часть 2); никто не может быть лишен своего имущества иначе как по решению суда (часть 3). По смыслу приведенных положений Конституции Российской Федерации во взаимосвязи с ее статьями 17 (части 1 и 3) и 55 (часть 3), а также исходя из общих принципов права, конституционные гарантии права собственности (права владения, пользования и распоряжения имуществом) предоставляются в отношении того имущества, которое принадлежит субъектам права собственности и приобретено ими на законных основаниях; право частной собственности не является абсолютным и может быть ограничено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В отношении права собственности на транспортные средства такие ограничения продиктованы, в частности, повышенной опасностью для окружающих деятельности с использованием транспортных средств (статья 1079 ГК Российской Федерации). Отнесение транспортных средств к источникам повышенной опасности обусловливает необходимость установления для них особого правового режима в целом и специальных правил их допуска к эксплуатации в частности. Именно поэтому пункт 3 статьи 15 Федерального закона «О безопасности дорожного движения», связывая допуск транспортного средства к эксплуатации с его регистрацией и выдачей соответствующих документов, запрещает регистрацию без документа, удостоверяющего соответствие транспортного средства установленным требованиям безопасности дорожного движения. Таким образом, данная норма направлена на регулирование административно- правовых отношений, вопросы же, связанные с возникновением и прекращением права частной собственности на транспортные средства, 4 она не регулирует и не может, вопреки мнению заявительницы, рассматриваться как нарушающая ее конституционные права, гарантированные статьей 35 Конституции Российской Федерации. Проверка же соответствия подзаконного регулирования, касающегося документов для допуска транспортного средства к эксплуатации, предназначению оспариваемой нормы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Пименовой Марины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