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168825-П/2014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Еганова Владимира Федоровича на нарушение его конституционных прав положением части 2 статьи 289 Арбитражного процессуального кодекса Российской Федерации и предварительным решением Управления товарной номенклатуры Федеральной таможенной службы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рассмотрев по требованию гражданина В.Ф.Еганова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Представленными материалами не подтверждается применение арбитражным судом в деле с участием именно В.Ф.Еганова положения части 2 статьи 289 АПК Российской Федерации, поскольку в качестве стороны при рассмотрении дела выступало ЗАО «Химтраст», в связи с чем данная жалоба в этой части не может быть признана допустимой по смыслу статей 96 и 97 Федерального конституционного закона «О Конституционном Суде Российской Федерации». Проверка же соответствия Конституции Российской Федерации предварительного решения Управления товарной номенклатуры Федеральной таможенной службы по классификации товара по Единой товарной номенклатуре внешнеэкономической деятельности таможенного союза от 31 августа 2012 года, не относящегося к числу законов, не входит в компетенцию Конституционного Суда Российской Федерации.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Еганова Владимира Федоровича,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