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119286-П/2012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Шахбанова Магомеда Раджабовича на нарушение его конституционных прав пунктом 1 части третьей статьи 392 Гражданского процессуального кодекса Российской Федерации, пунктами 3 и 26 части 1 статьи 16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М.Р.Шахбанова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пункта 1 части третьей статьи 392 ГПК Российской Федерации, пунктов 3 и 26 части 1 статьи 16 Федерального закона «Об общих принципах организации местного самоуправления в Российской Федерации», а с принятыми по его делу судебными постановлениями, с которыми он выражает несогласие. Между тем проверка правильности выбора подлежащих применению правовых норм и их казуального истолкования правоприменителем с учетом фактических обстоятельств конкретного дела к компетенции Конституционного Суда Российской Федерации, как она закреплена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Шахбанова Магомеда Раджабовича,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