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157637-П/2014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Кривцова Евгения Валерьевича на нарушение его конституционных прав и конституционных прав его несовершеннолетнего сына статьями 208, 301, пунктом 1 статьи 302 и статьей 304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Е.В.Кривцова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Волгоградского областного суда было отменено решение суда первой инстанции и кассационное определение в части отказа в удовлетворении исковых требований территориального управления Федерального агентства по управлению государственным имуществом в Волгоградской области к гражданину Е.В.Кривцову, действующему в своих интересах и в интересах несовершеннолетнего сына, 2 и другим о признании права государственной собственности Российской Федерации и истребовании имущества из чужого незаконного владения; в этой части постановлено новое решение, которым признано право государственной собственности Российской Федерации на спорные объекты недвижимого имущества, данные объекты истребованы из владения Е.В.Кривцова.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Е.В.Кривцовым материалы, не находит оснований для принятия его жалобы к рассмотрению. Согласно статье 301 ГК Российской Федерации собственник вправе истребовать свое имущество из чужого незаконного владения. Указанная норма, направленная на защиту прав собственника, равно как и пункт 1 статьи 302 данного Кодекса об истребовании имущества у добросовестного приобретателя, направленный с учетом его конституционно-правового смысла, выявленного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Кривцова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