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Магдеевой Светланы Анатольевны на нарушение ее конституционных прав частями первой, третьей и четвертой статьи 415 и статьей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С.А.Магдеевой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С.А.Магдеевой должностными лицами органов прокуратуры на ее обращения даны ответы об отсутствии оснований для проведения проверки и возбуждения производства ввиду новых или вновь открывшихся обстоятельств по уголовному делу, по которому в отношении нее был вынесен обвинительный приговор.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статей 415 и 416 УПК Российской Федерации, регулирующие порядок возбуждения производства ввиду новых или вновь открывшихся обстоятельств и действия прокурора по окончании проверки или расследования, не содержат норм, препятствующих обжалованию в суд решений прокурора, принимаемых по данному вопросу: согласно постановлению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статьей 125 УПК Российской Федерации (пункты 11 и 18); заявитель не лишен права обжаловать отказ прокурора в возбуждении производства по уголовному делу ввиду новых или вновь открывшихся обстоятельств даже в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Магдеевой Светланы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