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111992-П/2012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Вороженина Сергея Владимировича на нарушение его конституционных прав пунктами 2 и 5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во взаимосвязи со статьей 304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С.В.Вороженина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С.В.Ворожениным материалы, не находит оснований для принятия его жалобы к рассмотрению. Статья 36 Конституции Российской Федерации, гарантируя каждому право иметь землю в частной собственности (часть 1), одновременно закрепляет, что условия и порядок пользования землей определяются на основе федерального закона (часть 3), и вместе с тем не устанавливает условий реализации данного права, – они определяются федеральным законодателем в рамках его компетенции (определения Конституционного Суда Российской Федерации от 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Вороженина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