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16233-П/2007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16 января 2007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Новикова Юрия Викторовича на нарушение его конституционных прав пунктом 3 статьи 15 Федерального закона «О безопасности дорожного движения»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М.И.Клеандрова, А.Л.Кононова, Л.О.Красавчиковой, С.П.Маврина, Н.В.Мельникова, Ю.Д.Рудкина, Н.В.Селезнева, А.Я.Сливы, В.Г.Стрекозова, О.С.Хохряковой, Б.С.Эбзеева, В.Г.Ярославцева, заслушав в пленарном заседании заключение судьи А.Я.Сливы, проводившего на основании статьи 41 Федерального конституционного закона «О Конституционном Суде Российской Федерации» предварительное изучение жалобы гражданина Ю.В. Новикова,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Согласно статье 35 Конституции Российской Федерации право частной собственности охраняется законом (часть 1); каждый вправе иметь 3 имущество в собственности, владеть, пользоваться и распоряжаться им (часть 2); никто не может быть лишен своего имущества иначе как по решению суда (часть 3). По смыслу приведенных положений Конституции Российской Федерации во взаимосвязи с ее статьями 17 (части 1 и 3) и 55 (часть 3), а также исходя из общих принципов права, конституционные гарантии права собственности (права владения, пользования и распоряжения имуществом) предоставляются в отношении того имущества, которое принадлежит субъектам права собственности и приобретено ими на законных основаниях; право частной собственности не является абсолютным и может быть ограничено федеральным законом в той мере, в какой это необходимо в целях защиты основ конституционного строя, нравственности, здоровья, прав и законных интересов других лиц, обеспечения обороны страны и безопасности государства. В отношении права собственности на транспортные средства такие ограничения продиктованы, в частности, повышенной опасностью для окружающих деятельности с использованием транспортных средств (статья 1079 ГК Российской Федерации). Отнесение транспортных средств к источникам повышенной опасности обусловливает необходимость установления для них особого правового режима в целом и специальных правил их допуска к эксплуатации в частности. Именно поэтому пункт 3 статьи 15 Федерального закона «О безопасности дорожного движения», связывая допуск транспортного средства к эксплуатации с его регистрацией и выдачей соответствующих документов, запрещает регистрацию без документа, удостоверяющего соответствие транспортного средства установленным требованиям безопасности дорожного движения, что не может рассматриваться как нарушение конституционных прав и свобод граждан. Документ, которым удостоверяется соответствие транспортного средства установленным требованиям безопасности дорожного движения, в пункте 3 статьи 15 Федерального закона «О безопасности дорожного движения» не называется. В деле заявителя основанием для отказа в 4 регистрации автомобиля послужили факт изменения заводской маркировки кузова и двигателя вне завода-изготовителя, а также факт изменения номера паспорта транспортного средства. Проверка же соответствия подзаконного регулирования, в том числе касающегося паспортов транспортных средств, предназначению оспариваемой нормы не относится к компетенции Конституционного Суда Российской Федерации, как она определена в статье 125 Конституции Российской Федерации и статье 3 Федерального конституционного закона «О Конституционном Суде Российской Федерации».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3.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Как следует из статей 96 и 97 Федерального конституционного закона «О Конституционном Суде Российской Федерации», гражданин вправе обратиться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Новикова Юрия Викторовича,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гражданина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