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122650-П/2013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Шутова Виктора Васильевича на нарушение его конституционных прав статьей 17.10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к рассмотрению жалобы гражданина В.В.Шутова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В.В.Шутовым материалы, не находит оснований для принятия его жалобы к рассмотрению. Согласно статье 70 (часть 1)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законом. Во исполнение данного конституционного положения Федеральным конституционным законом от 25 декабря 2000 года № 2-ФКЗ «О Государственном гербе Российской Федерации» устанавливаются Государственный герб Российской Федерации, его описание и порядок официального использования. Определяя в названном Федеральном конституционном законе порядок использования Государственного герба Российской Федерации, федеральный законодатель не отнес граждан к числу лиц, имеющих право использовать его на бланках и печатях (статьи 3 и 4). Данное регулирование обусловлено тем, что Государственный герб Российской Федерации как государственный символ Российской Федерации служит средством обозначения актов и документов, исходящих от ее государственных органов и должностных лиц, а также документов органов, организаций и учреждений, деятельность которых имеет 3 общегосударственное значение, и не выходит за пределы дискреционных полномочий федерального законодателя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Шутова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