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198499-П/2015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Шепелевича Сергея Игоревича на нарушение его конституционных прав пунктом 2 статьи 302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С.И.Шепелевича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частично оставленным без изменения арбитражными судами апелляционной и кассационной инстанций, обществу с ограниченной ответственностью были переданы 20 процентов доли уставного капитала данного общества, полученные гражданином С.И.Шепелевичем по договору дарения. При этом арбитражный суд первой инстанции со ссылкой на положения статей 302 «Истребование имущества от добросовестного приобретателя» и 572 2 «Договор дарения» ГК Российской Федерации отклонил доводы С.И.Шепелевича о необходимости учета его добросовестности при передаче обществу долей соответчиков.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Конституционный Суд Российской Федерации неоднократно указывал, что защита лица, считающего себя собственником имущества, возможна путем удовлетворения виндикационного иска, если для этого имеются те предусмотренные статьей 302 ГК Российской Федерации основания, которые дают право истребовать имущество и у добросовестного приобретателя, в частности безвозмездность приобретения имущества добросовестным приобретателем, выбытие имущества из владения собственника помимо его воли. Названное правовое регулирование,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Шепелевича Сергея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