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Машкова Игоря Георгиевича на нарушение его конституционных прав пунктами 4 и 6 части 1 статьи 29.10 и частью 2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И.Г.Машкова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И.Г.Машковым материалы, не находит оснований для принятия его жалобы к рассмотрению. Оспариваемые законоположения устанавливают требования к содержанию постановлений (решений), выносимых по делам об административных правонарушениях. В частности, они обязывают мотивировать решение по делу и указывать все обстоятельства, установленные при его рассмотрении. Тем самым данные нормы гарантируют права участников производства по делам об административных правонарушениях и выполнение задач данного производства (статья 24.1 КоАП Российской Федерации). Поэтому они не могут рассматриваться как нарушающие конституционные права граждан. Проверка же законности и обоснованности судебных постановлений к компетенции Конституционного Суда Российской Федерации не относится 3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пунктами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Машкова Игоря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