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17380-П/2008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Шавалиева Зуфара Минсиафовича на нарушение его конституционных прав положениями пункта 1 статьи 7 и пункта 3 статьи 15 Федерального закона «Об обязательном социальном страховании от несчастных случаев на производстве и профессиональных заболеваний» и абзаца первого пункта 12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З.М.Шавалиева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Оспариваемые заявителем положения Федерального закона «Об обязательном социальном страховании от несчастных случаев на производстве и профессиональных заболеваний» направлены на создание гарантий получения застрахованным страховых выплат со дня установления факта утраты профессиональной трудоспособности, т.е. с момента возникновения права на обеспечение по страхованию. Такое правовое регулирование не может рассматриваться как умаляющее право на социальное обеспечение, закрепленное в статье 39 Конституции Российской Федерации. 4 Оспаривая конституционность абзаца первого пункта 12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заявитель фактически выражает несогласие с тем, какую степень утраты трудоспособности ему установило Главное бюро медико- социальной экспертизы Свердловской области. Между тем проверка правильности решения учреждения медико- социальной экспертизы относится к компетенции судов общей юрисдикции, а не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Шавалиева Зуфара Минсиафовича,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