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85477-П/2011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Бессарабова Андрея Алексеевича на нарушение его конституционных прав статьей 60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А.А.Бессарабова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удовлетворены исковые требования к гражданину А.А.Бессарабову о признании сделки по принятию наследства ничтожной и применении последствий ее недействительности.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60 ГПК Российской Федерации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Отсылая к другим положениям законодательства, закрепляющим императивное правило оценки судом допустимости доказательств в гражданском процессе, оспариваемая заявителем норма сама по себе не может рассматриваться как нарушающая его конституционные права, указанные в обращении. Кроме того, как следует из жалобы, суды общей юрисдикции не признали в качестве допустимых представленные заявителем доказательства, содержащиеся в протоколе допроса потерпевшего, поскольку они были получены по другому делу. Таким образом, требование заявителя о проверке конституционности статьи 60 ГПК Российской Федерации фактически вызвано его несогласием с оценкой судом доказательств по конкретному гражданскому делу и, соответственно, с вынесенным судебным постановлением. Между тем проверка правомерности действий суда при осуществлении правосудия, равно как и проверка обоснованности судебных постановлений Конституционному Суду Российской Федерации неподведомственны в силу статьи 125 Конституции Российской Федерации и 3 статьи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Бессарабова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