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188491-П/2015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Погарского Вадима Александровича на нарушение его конституционных прав положениями статей 359 и 429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В.А.Погарского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с гражданина В.А.Погарского в пользу гражданина М. были взысканы сумма неосновательного обогащения и проценты за пользование чужими денежными средствами. Впоследствии постановлением суда надзорной инстанции были удовлетворены требования М. о признании права на удержание жилого помещения, предъявленные к В.А.Погарскому, который, как указал суд, не уплатил сумму, присужденную названным решением суда. 2 Кроме того, другим решением суда общей юрисдикции В.А.Погарскому было отказано в удовлетворении иска к М. о взыскании денежных средств в связи с неисполнением обязательств из предварительного договора и возврате сумм неосновательного обогащения. При этом суд указал, в частности, что прекращение действия предварительного договора не исключает основания для применения статей 359 и 360 ГК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Статья 359 ГК Российской Федерации сама по себе направлена на защиту интересов кредитора и обеспечение надлежащего исполнения должником обязательства по оплате вещи или возмещению кредитору связанных с нею издержек и других убытков (определения Конституционного Суда Российской Федерации от 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Погарского Вадима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