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109829-П/2012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Тюнина Максима Викторовича на нарушение его конституционных прав частью 2 статьи 12.27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к рассмотрению жалобы гражданина М.В.Тюнина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М.В.Тюниным материалы, не находит оснований для принятия его жалобы к рассмотрению. Оспаривая конституционность части 2 статьи 12.27 КоАП Российской Федерации, заявитель приводит доводы о том, что данная норма не 3 подлежала применению, поскольку не была установлена его вина в нарушении правил расположения транспортного средства на проезжей части дороги, встречного разъезда или обгона, т.е. в совершении административного правонарушения, предусмотренного частью 1 статьи 12.15 КоАП Российской Федерации. Таким образом, заявитель фактически выражает несогласие с принятыми по его делу правоприменительными решениями. Между тем проверка законности и обоснованности судебных постановлений, вынесенных по делу заявителя, как связанная с исследованием фактических обстоятельств дела, к компетенции Конституционного Суда Российской Федерации не относится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Тюнина Максима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