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125692-П/2013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Кочергина Сергея Витальевича на нарушение его конституционных прав частью первой статьи 217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С.В.Кочергина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судьи, оставленным без изменения определением суда апелляционной инстанции, по ходатайству следователя, обоснованному, в числе прочего, необходимостью ознакомления С.В.Кочергина, обвиняемого в совершении преступлений, с материалами уголовного дела, срок его содержания под стражей был продлен на 3 месяца, а всего – до 15 месяцев.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первая статьи 217 УПК Российской Федерации содержит адресованное следователю требование предъявить обвиняемому и его защитнику подшитые и пронумерованные материалы уголовного дела. При этом в силу статьи 219 того же Кодекса в ходе ознакомления обвиняемого и его защитника с уголовным делом не исключается дополнение этого дела новыми материалами, однако только при наличии соответствующего ходатайства (часть первая) и при последующем уведомлении обвиняемого и его защитника об окончании производства дополнительных следственных действий и предоставлении им возможности ознакомиться с полученными материалами (часть вторая). Соответственно, само по себе оспариваемое законоположение не предполагает возможность произвольного дополнения материалов уголовного дела и ознакомления обвиняемого и его защитника с материалами дела в неполном объеме (Определение Конституционного Суда Российской Федерации от 16 июля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Кочергина Сергея Витальевича,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