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187196-П/2015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Филиной Прасковьи Тихоновны на нарушение ее конституционных прав частью второй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гражданки П.Т.Филиной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135 УПК Российской Федерации в течение сроков исковой давности, установленных Гражданским кодексом Российской Федерации, со дня получения копии документов, указанных в части первой статьи 134 этого Кодекса, и извещения о порядке возмещения вреда реабилитированный вправе обратиться с требованием о возмещении имущественного вреда в суд, постановивший приговор, вынесший постановление, определение о прекращении уголовного дела и (или) уголовного преследования, либо в суд по месту жительства реабилитированного, либо в суд по месту нахождения органа, вынесшего постановление о прекращении уголовного дела и (или) уголовного преследования либо об отмене или изменении незаконных или необоснованных решений. Данное предписание в системе других норм главы 18 УПК Российской Федерации, регламентирующих уголовно-процессуальный порядок признания права на возмещение имущественного вреда в связи с реабилитацией, создает для реабилитированных лиц упрощенный по сравнению с исковым порядком гражданского судопроизводства режим правовой защиты, направленный не на ограничение, а на защиту прав граждан (Постановление Конституционного Суда Российской Федерации от 3 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Филиной Прасковьи Тихоновны,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