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146982-П/2013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Саитовой Рамили Хамитьяновны на нарушение ее конституционных прав частью четвертой статьи 38913, пунктом 1 статьи 38915, пунктом 6 части первой статьи 38920 и статьей 38923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гражданки Р.Х.Саитовой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оспариваемых законоположений, а с их неправильным, с ее точки зрения, применением судом при разрешении дела с ее участием, тем самым выражая несогласие с определением суда апелляционной инстанции, отменившего постановление суда первой инстанции и принявшего новое решение. Между тем проверка законности и обоснованности вынесенных по конкретному делу судебных решений – как в части исследования фактических обстоятельств, так и в части оценки правильности применения правовых норм –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3 Конституционном Суде Российской Федерации». Кроме того, в нарушение требования статьи 96 Федерального конституционного закона «О Конституционном Суде Российской Федерации» заявительницей не представлено документальное подтверждение применения в ее деле оспариваемых положений Уголовно- процессуального кодекса Российской Федерации в обозначенном ею аспекте, а потому жалоба Р.Х.Саитовой,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Саитовой Рамили Хамитьяновны,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