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115906-П/2012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«Айсберг-Норд» на нарушение конституционных прав и свобод пунктами 2 и 5 статьи 5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«Айсберг-Норд»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«Айсберг-Норд» материалы, не находит оснований для принятия его жалобы к рассмотрению. Согласно статье 57 Конституции Российской Федерации законы, устанавливающие новые налоги или ухудшающие положение налогоплательщиков, обратной силы не имеют. В развитие данного конституционного положения в пунктах 2 и 5 статьи 5 Налогового кодекса Российской Федерации установлен запрет на придание обратной силы актам законодательства о налогах и сборах, ухудшающим положение налогоплательщика, который распространяется и на нормативные правовые акты о налогах и сборах федеральных органов исполнительной власти, органов исполнительной власти субъектов Российской Федерации и органов местного самоуправления. Из судебных решений по делу заявителя следует, что ему была начислена недоимка по налогу на добавленную стоимость в связи оказанием в 2007–2008 годах услуг по сдаче в аренду морского судна с экипажем. Президиум Высшего Арбитражного Суда Российской Федерации в постановлении от 13 октября 2009 года № 6508/09 по аналогичному делу подтвердил необходимость взимания налога. Впоследствии в отношении того же вопроса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«Айсберг-Норд»,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